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E0" w:rsidRDefault="002A2FA8" w:rsidP="008B0CE0">
      <w:pPr>
        <w:rPr>
          <w:noProof/>
        </w:rPr>
      </w:pPr>
      <w:r w:rsidRPr="002A2FA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9pt;margin-top:.45pt;width:306pt;height:90pt;z-index:251659264" stroked="f">
            <v:textbox style="mso-next-textbox:#_x0000_s1026">
              <w:txbxContent>
                <w:p w:rsidR="008B0CE0" w:rsidRDefault="008B0CE0" w:rsidP="008B0CE0">
                  <w:pPr>
                    <w:pStyle w:val="Heading1"/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GOVERNMENT OF TUVALU</w:t>
                  </w:r>
                </w:p>
                <w:p w:rsidR="008B0CE0" w:rsidRDefault="008B0CE0" w:rsidP="008B0CE0">
                  <w:pPr>
                    <w:pStyle w:val="Heading6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Office of the Auditor General</w:t>
                  </w:r>
                </w:p>
                <w:p w:rsidR="008B0CE0" w:rsidRDefault="008B0CE0" w:rsidP="008B0CE0">
                  <w:pPr>
                    <w:jc w:val="center"/>
                    <w:rPr>
                      <w:rFonts w:ascii="Dolphin" w:hAnsi="Dolphi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Private Mail Bag, Vaiaku, Funafuti, </w:t>
                  </w:r>
                  <w:r>
                    <w:rPr>
                      <w:rFonts w:ascii="Dolphin" w:hAnsi="Dolphin"/>
                      <w:b/>
                      <w:bCs/>
                    </w:rPr>
                    <w:t>TUVALU</w:t>
                  </w:r>
                </w:p>
                <w:p w:rsidR="008B0CE0" w:rsidRDefault="008B0CE0" w:rsidP="008B0CE0">
                  <w:pPr>
                    <w:pStyle w:val="Heading5"/>
                    <w:rPr>
                      <w:b w:val="0"/>
                      <w:bCs w:val="0"/>
                      <w:iCs/>
                    </w:rPr>
                  </w:pPr>
                  <w:r>
                    <w:rPr>
                      <w:b w:val="0"/>
                      <w:bCs w:val="0"/>
                    </w:rPr>
                    <w:t xml:space="preserve"> Phone No: </w:t>
                  </w:r>
                  <w:proofErr w:type="gramStart"/>
                  <w:r>
                    <w:rPr>
                      <w:b w:val="0"/>
                      <w:bCs w:val="0"/>
                    </w:rPr>
                    <w:t>+(</w:t>
                  </w:r>
                  <w:proofErr w:type="gramEnd"/>
                  <w:r>
                    <w:rPr>
                      <w:b w:val="0"/>
                      <w:bCs w:val="0"/>
                    </w:rPr>
                    <w:t>688) 20130, 20131, 20132: Fax No: +(688) 20132</w:t>
                  </w:r>
                </w:p>
              </w:txbxContent>
            </v:textbox>
          </v:shape>
        </w:pict>
      </w:r>
      <w:r w:rsidR="008B0CE0">
        <w:rPr>
          <w:noProof/>
          <w:lang w:val="en-US"/>
        </w:rPr>
        <w:drawing>
          <wp:inline distT="0" distB="0" distL="0" distR="0">
            <wp:extent cx="86677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E0" w:rsidRDefault="008B0CE0" w:rsidP="008B0CE0">
      <w:pPr>
        <w:pBdr>
          <w:bottom w:val="single" w:sz="12" w:space="1" w:color="auto"/>
        </w:pBdr>
      </w:pPr>
    </w:p>
    <w:p w:rsidR="002C7F26" w:rsidRPr="009116C1" w:rsidRDefault="008B0CE0" w:rsidP="002C7F26">
      <w:pPr>
        <w:jc w:val="center"/>
        <w:rPr>
          <w:rFonts w:ascii="Berlin Sans FB Demi" w:hAnsi="Berlin Sans FB Demi"/>
          <w:color w:val="548DD4" w:themeColor="text2" w:themeTint="99"/>
          <w:sz w:val="32"/>
          <w:szCs w:val="32"/>
        </w:rPr>
      </w:pPr>
      <w:r>
        <w:rPr>
          <w:rFonts w:ascii="Berlin Sans FB Demi" w:hAnsi="Berlin Sans FB Demi"/>
          <w:color w:val="548DD4" w:themeColor="text2" w:themeTint="99"/>
          <w:sz w:val="32"/>
          <w:szCs w:val="32"/>
        </w:rPr>
        <w:t xml:space="preserve">PRESS RELEASE - </w:t>
      </w:r>
      <w:r w:rsidRPr="009116C1">
        <w:rPr>
          <w:rFonts w:ascii="Berlin Sans FB Demi" w:hAnsi="Berlin Sans FB Demi"/>
          <w:color w:val="548DD4" w:themeColor="text2" w:themeTint="99"/>
          <w:sz w:val="32"/>
          <w:szCs w:val="32"/>
        </w:rPr>
        <w:t>Tuvalu Whole of Government Audit</w:t>
      </w:r>
      <w:r>
        <w:rPr>
          <w:rFonts w:ascii="Berlin Sans FB Demi" w:hAnsi="Berlin Sans FB Demi"/>
          <w:color w:val="548DD4" w:themeColor="text2" w:themeTint="99"/>
          <w:sz w:val="32"/>
          <w:szCs w:val="32"/>
        </w:rPr>
        <w:t xml:space="preserve"> 2012</w:t>
      </w:r>
    </w:p>
    <w:p w:rsidR="00C3093E" w:rsidRPr="00C3093E" w:rsidRDefault="00C3093E" w:rsidP="00C3093E">
      <w:pPr>
        <w:keepNext/>
        <w:framePr w:dropCap="drop" w:lines="3" w:wrap="around" w:vAnchor="text" w:hAnchor="text"/>
        <w:spacing w:after="0" w:line="926" w:lineRule="exact"/>
        <w:jc w:val="both"/>
        <w:textAlignment w:val="baseline"/>
        <w:rPr>
          <w:rFonts w:cstheme="minorHAnsi"/>
          <w:position w:val="-8"/>
          <w:sz w:val="123"/>
        </w:rPr>
      </w:pPr>
      <w:r w:rsidRPr="00C3093E">
        <w:rPr>
          <w:rFonts w:cstheme="minorHAnsi"/>
          <w:position w:val="-8"/>
          <w:sz w:val="123"/>
        </w:rPr>
        <w:t>T</w:t>
      </w:r>
    </w:p>
    <w:p w:rsidR="002A6D5C" w:rsidRDefault="002C7F26" w:rsidP="00E6308A">
      <w:pPr>
        <w:jc w:val="both"/>
      </w:pPr>
      <w:r>
        <w:t xml:space="preserve">he </w:t>
      </w:r>
      <w:r w:rsidR="00FC2D3D">
        <w:t>Office of the Auditor General</w:t>
      </w:r>
      <w:r>
        <w:t xml:space="preserve"> has </w:t>
      </w:r>
      <w:r w:rsidR="00CD0F6C">
        <w:t>completed</w:t>
      </w:r>
      <w:r>
        <w:t xml:space="preserve"> the audit of the Tuvalu Whole of Government for the period ending 31</w:t>
      </w:r>
      <w:r w:rsidRPr="002C7F26">
        <w:rPr>
          <w:vertAlign w:val="superscript"/>
        </w:rPr>
        <w:t>st</w:t>
      </w:r>
      <w:r>
        <w:t xml:space="preserve"> December 2012. </w:t>
      </w:r>
      <w:r w:rsidR="00CD0F6C">
        <w:t xml:space="preserve">The </w:t>
      </w:r>
      <w:r w:rsidR="00FC2D3D">
        <w:t>Office of the Auditor General</w:t>
      </w:r>
      <w:r w:rsidR="00CD0F6C">
        <w:t xml:space="preserve"> is required by</w:t>
      </w:r>
      <w:r w:rsidR="008B6EC4">
        <w:t xml:space="preserve"> </w:t>
      </w:r>
      <w:r w:rsidR="00CD0F6C" w:rsidRPr="00E6308A">
        <w:rPr>
          <w:b/>
          <w:i/>
        </w:rPr>
        <w:t>section 32</w:t>
      </w:r>
      <w:r w:rsidR="00CD0F6C">
        <w:t xml:space="preserve"> of the </w:t>
      </w:r>
      <w:r w:rsidR="00CD0F6C" w:rsidRPr="00E6308A">
        <w:rPr>
          <w:b/>
          <w:i/>
        </w:rPr>
        <w:t>Public Finance Act</w:t>
      </w:r>
      <w:r w:rsidR="00CD0F6C">
        <w:t xml:space="preserve"> to</w:t>
      </w:r>
      <w:r w:rsidR="00E6308A">
        <w:t xml:space="preserve"> report an independent opinion on the financial statements </w:t>
      </w:r>
      <w:r w:rsidR="00CD0F6C">
        <w:t xml:space="preserve">of the Tuvalu Whole of Government </w:t>
      </w:r>
      <w:r w:rsidR="009379DB">
        <w:t xml:space="preserve">to </w:t>
      </w:r>
      <w:r w:rsidR="00E6308A">
        <w:t>parliame</w:t>
      </w:r>
      <w:r w:rsidR="00CD0F6C">
        <w:t>nt.</w:t>
      </w:r>
    </w:p>
    <w:p w:rsidR="00FC2D3D" w:rsidRDefault="00FC2D3D" w:rsidP="00FC2D3D">
      <w:pPr>
        <w:shd w:val="clear" w:color="auto" w:fill="C6D9F1" w:themeFill="text2" w:themeFillTint="33"/>
        <w:jc w:val="both"/>
        <w:rPr>
          <w:b/>
        </w:rPr>
      </w:pPr>
      <w:r w:rsidRPr="00EC6BCD">
        <w:rPr>
          <w:b/>
        </w:rPr>
        <w:t>Audit Result 2012</w:t>
      </w:r>
    </w:p>
    <w:p w:rsidR="00FC2D3D" w:rsidRDefault="00FC2D3D" w:rsidP="00FC2D3D">
      <w:pPr>
        <w:jc w:val="both"/>
      </w:pPr>
      <w:r>
        <w:t xml:space="preserve">The Office of the Auditor General has issued a </w:t>
      </w:r>
      <w:r w:rsidRPr="00CD0F6C">
        <w:rPr>
          <w:b/>
        </w:rPr>
        <w:t>qualified disclaimer</w:t>
      </w:r>
      <w:r>
        <w:rPr>
          <w:b/>
        </w:rPr>
        <w:t xml:space="preserve"> of audit o</w:t>
      </w:r>
      <w:r w:rsidRPr="00CD0F6C">
        <w:rPr>
          <w:b/>
        </w:rPr>
        <w:t xml:space="preserve">pinion </w:t>
      </w:r>
      <w:r>
        <w:t>(we do not have sufficient evidence to form an opinion) on the Tuvalu Whole of Government financial report for the year ended 31</w:t>
      </w:r>
      <w:r w:rsidRPr="00806345">
        <w:rPr>
          <w:vertAlign w:val="superscript"/>
        </w:rPr>
        <w:t>st</w:t>
      </w:r>
      <w:r>
        <w:t xml:space="preserve"> December 2012. </w:t>
      </w:r>
    </w:p>
    <w:p w:rsidR="007931B6" w:rsidRPr="007931B6" w:rsidRDefault="00FC2D3D" w:rsidP="007931B6">
      <w:pPr>
        <w:shd w:val="clear" w:color="auto" w:fill="C6D9F1" w:themeFill="text2" w:themeFillTint="33"/>
        <w:jc w:val="both"/>
        <w:rPr>
          <w:b/>
        </w:rPr>
      </w:pPr>
      <w:r>
        <w:rPr>
          <w:b/>
        </w:rPr>
        <w:t xml:space="preserve">Types of </w:t>
      </w:r>
      <w:r w:rsidR="007931B6" w:rsidRPr="007931B6">
        <w:rPr>
          <w:b/>
        </w:rPr>
        <w:t>Audit Opinion</w:t>
      </w:r>
    </w:p>
    <w:p w:rsidR="00ED3460" w:rsidRDefault="00D721C6" w:rsidP="00ED3460">
      <w:pPr>
        <w:spacing w:after="0"/>
        <w:jc w:val="both"/>
        <w:rPr>
          <w:b/>
          <w:i/>
        </w:rPr>
      </w:pPr>
      <w:r>
        <w:t xml:space="preserve">Our </w:t>
      </w:r>
      <w:r w:rsidR="007931B6">
        <w:t xml:space="preserve">audit opinions provide an answer </w:t>
      </w:r>
      <w:r>
        <w:t xml:space="preserve">to the question: </w:t>
      </w:r>
      <w:r w:rsidRPr="00ED3460">
        <w:rPr>
          <w:b/>
          <w:i/>
        </w:rPr>
        <w:t xml:space="preserve">Do </w:t>
      </w:r>
      <w:r w:rsidR="007931B6" w:rsidRPr="00ED3460">
        <w:rPr>
          <w:b/>
          <w:i/>
        </w:rPr>
        <w:t>the</w:t>
      </w:r>
      <w:r w:rsidR="007931B6">
        <w:rPr>
          <w:b/>
          <w:i/>
        </w:rPr>
        <w:t xml:space="preserve"> financial statements present a true and fair view of the entity? </w:t>
      </w:r>
    </w:p>
    <w:p w:rsidR="00F22F74" w:rsidRDefault="00F22F74" w:rsidP="00ED3460">
      <w:pPr>
        <w:pStyle w:val="ListParagraph"/>
        <w:numPr>
          <w:ilvl w:val="0"/>
          <w:numId w:val="3"/>
        </w:numPr>
        <w:spacing w:after="0"/>
        <w:jc w:val="both"/>
      </w:pPr>
      <w:r w:rsidRPr="00ED3460">
        <w:rPr>
          <w:b/>
        </w:rPr>
        <w:t>Unqualified</w:t>
      </w:r>
      <w:r w:rsidRPr="00ED3460">
        <w:rPr>
          <w:i/>
        </w:rPr>
        <w:t>[yes]</w:t>
      </w:r>
      <w:r>
        <w:t>,the financial statement do present a true and fair view of the entity</w:t>
      </w:r>
    </w:p>
    <w:p w:rsidR="00F22F74" w:rsidRDefault="00F22F74" w:rsidP="00ED3460">
      <w:pPr>
        <w:pStyle w:val="ListParagraph"/>
        <w:numPr>
          <w:ilvl w:val="0"/>
          <w:numId w:val="3"/>
        </w:numPr>
        <w:spacing w:after="0"/>
        <w:jc w:val="both"/>
      </w:pPr>
      <w:r w:rsidRPr="00F22F74">
        <w:rPr>
          <w:b/>
        </w:rPr>
        <w:t xml:space="preserve">Qualified </w:t>
      </w:r>
      <w:r w:rsidR="00ED3460">
        <w:rPr>
          <w:b/>
        </w:rPr>
        <w:t>“</w:t>
      </w:r>
      <w:r w:rsidRPr="00F22F74">
        <w:rPr>
          <w:b/>
        </w:rPr>
        <w:t>Except for</w:t>
      </w:r>
      <w:r w:rsidR="00ED3460">
        <w:rPr>
          <w:b/>
        </w:rPr>
        <w:t>”</w:t>
      </w:r>
      <w:r w:rsidRPr="00F22F74">
        <w:rPr>
          <w:i/>
        </w:rPr>
        <w:t>[</w:t>
      </w:r>
      <w:r w:rsidR="00ED3460">
        <w:rPr>
          <w:i/>
        </w:rPr>
        <w:t>yes, but</w:t>
      </w:r>
      <w:r w:rsidRPr="00F22F74">
        <w:rPr>
          <w:i/>
        </w:rPr>
        <w:t>]</w:t>
      </w:r>
      <w:r>
        <w:t xml:space="preserve">, the financial statement do present </w:t>
      </w:r>
      <w:r w:rsidR="00ED3460">
        <w:t xml:space="preserve">a true and fair view except for a certain part of the financial statements. The reason and part of the financial statements which does no present a true and fair view is detailed in the audit report. </w:t>
      </w:r>
    </w:p>
    <w:p w:rsidR="00F22F74" w:rsidRDefault="00F22F74" w:rsidP="00ED3460">
      <w:pPr>
        <w:pStyle w:val="ListParagraph"/>
        <w:numPr>
          <w:ilvl w:val="0"/>
          <w:numId w:val="3"/>
        </w:numPr>
        <w:spacing w:after="0"/>
        <w:jc w:val="both"/>
      </w:pPr>
      <w:r w:rsidRPr="00F22F74">
        <w:rPr>
          <w:b/>
        </w:rPr>
        <w:t>Qualified Adverse</w:t>
      </w:r>
      <w:r w:rsidRPr="00F22F74">
        <w:rPr>
          <w:i/>
        </w:rPr>
        <w:t>[no]</w:t>
      </w:r>
      <w:r>
        <w:t>, the financial statements do not present a true and fair view</w:t>
      </w:r>
      <w:r w:rsidR="00ED3460">
        <w:t xml:space="preserve">. The reasons are detailed in the audit report. </w:t>
      </w:r>
    </w:p>
    <w:p w:rsidR="00F22F74" w:rsidRDefault="00F22F74" w:rsidP="00ED3460">
      <w:pPr>
        <w:pStyle w:val="ListParagraph"/>
        <w:numPr>
          <w:ilvl w:val="0"/>
          <w:numId w:val="3"/>
        </w:numPr>
        <w:jc w:val="both"/>
      </w:pPr>
      <w:r w:rsidRPr="00F22F74">
        <w:rPr>
          <w:b/>
        </w:rPr>
        <w:t>Qualified Disclaimer</w:t>
      </w:r>
      <w:r w:rsidRPr="00F22F74">
        <w:rPr>
          <w:i/>
        </w:rPr>
        <w:t>[</w:t>
      </w:r>
      <w:r w:rsidR="00ED3460">
        <w:rPr>
          <w:i/>
        </w:rPr>
        <w:t>don’t know</w:t>
      </w:r>
      <w:r w:rsidRPr="00F22F74">
        <w:rPr>
          <w:i/>
        </w:rPr>
        <w:t>]</w:t>
      </w:r>
      <w:r>
        <w:t xml:space="preserve">, </w:t>
      </w:r>
      <w:r w:rsidR="00E623BB">
        <w:t>we were unable to get enough evidence to support an audit opinion. The reasons are detailed in the report. Sometimes referred to as an “inability to form an opinion”</w:t>
      </w:r>
      <w:r>
        <w:t>.</w:t>
      </w:r>
    </w:p>
    <w:p w:rsidR="009116C1" w:rsidRDefault="00E623BB" w:rsidP="009116C1">
      <w:pPr>
        <w:shd w:val="clear" w:color="auto" w:fill="C6D9F1" w:themeFill="text2" w:themeFillTint="33"/>
        <w:jc w:val="both"/>
        <w:rPr>
          <w:b/>
        </w:rPr>
      </w:pPr>
      <w:r>
        <w:rPr>
          <w:b/>
        </w:rPr>
        <w:t xml:space="preserve">Reasons for the </w:t>
      </w:r>
      <w:r w:rsidR="009116C1" w:rsidRPr="009116C1">
        <w:rPr>
          <w:b/>
        </w:rPr>
        <w:t>qualified (disclaimer) opinion</w:t>
      </w:r>
    </w:p>
    <w:p w:rsidR="009116C1" w:rsidRDefault="009116C1" w:rsidP="00174A07">
      <w:pPr>
        <w:spacing w:after="0"/>
        <w:jc w:val="both"/>
        <w:rPr>
          <w:b/>
          <w:i/>
        </w:rPr>
      </w:pPr>
      <w:r w:rsidRPr="009116C1">
        <w:rPr>
          <w:b/>
          <w:i/>
        </w:rPr>
        <w:t>Non inclusion of fixed assets and inventory in the financial statements</w:t>
      </w:r>
    </w:p>
    <w:p w:rsidR="00211EB9" w:rsidRDefault="009116C1" w:rsidP="00174A07">
      <w:pPr>
        <w:spacing w:after="0"/>
        <w:jc w:val="both"/>
      </w:pPr>
      <w:r>
        <w:t>The financial report of the Tuvalu Whole of Government for the year ending 31</w:t>
      </w:r>
      <w:r w:rsidRPr="009116C1">
        <w:rPr>
          <w:vertAlign w:val="superscript"/>
        </w:rPr>
        <w:t>st</w:t>
      </w:r>
      <w:r>
        <w:t xml:space="preserve"> December 2012 </w:t>
      </w:r>
      <w:r w:rsidR="004228CA">
        <w:t>did</w:t>
      </w:r>
      <w:r>
        <w:t xml:space="preserve"> not </w:t>
      </w:r>
      <w:r w:rsidR="00E623BB">
        <w:t xml:space="preserve">reveal </w:t>
      </w:r>
      <w:r>
        <w:t xml:space="preserve">fixed assets and inventories. </w:t>
      </w:r>
      <w:r w:rsidR="00E623BB">
        <w:t xml:space="preserve">Assets provided by donors </w:t>
      </w:r>
      <w:r w:rsidR="004228CA">
        <w:t>were</w:t>
      </w:r>
      <w:r w:rsidR="00174A07">
        <w:t xml:space="preserve"> also not</w:t>
      </w:r>
      <w:r w:rsidR="00E623BB">
        <w:t xml:space="preserve"> revealed</w:t>
      </w:r>
      <w:r w:rsidR="00403536">
        <w:t>.</w:t>
      </w:r>
      <w:r>
        <w:t>All fixed assets and inventories purc</w:t>
      </w:r>
      <w:r w:rsidR="00211EB9">
        <w:t xml:space="preserve">hased </w:t>
      </w:r>
      <w:r w:rsidR="00E623BB">
        <w:t xml:space="preserve">were </w:t>
      </w:r>
      <w:r w:rsidR="00211EB9">
        <w:t>expensed</w:t>
      </w:r>
      <w:r w:rsidR="00E623BB">
        <w:t xml:space="preserve">. This isnot following </w:t>
      </w:r>
      <w:r w:rsidR="00211EB9">
        <w:t>General Accepted Accounting Practice</w:t>
      </w:r>
      <w:r w:rsidR="00403536">
        <w:t xml:space="preserve"> which is to be followed in Tuvalu</w:t>
      </w:r>
      <w:r w:rsidR="00211EB9">
        <w:t>. There is also limited monitoring and management of government fixed assets and inventories.</w:t>
      </w:r>
    </w:p>
    <w:p w:rsidR="00211EB9" w:rsidRPr="00174A07" w:rsidRDefault="00174A07" w:rsidP="00174A07">
      <w:pPr>
        <w:spacing w:before="120" w:after="0"/>
        <w:jc w:val="both"/>
        <w:rPr>
          <w:b/>
          <w:i/>
        </w:rPr>
      </w:pPr>
      <w:r w:rsidRPr="00174A07">
        <w:rPr>
          <w:b/>
          <w:i/>
        </w:rPr>
        <w:t>Prior year comparatives</w:t>
      </w:r>
    </w:p>
    <w:p w:rsidR="00211EB9" w:rsidRDefault="00174A07" w:rsidP="00174A07">
      <w:pPr>
        <w:spacing w:after="0"/>
        <w:jc w:val="both"/>
      </w:pPr>
      <w:r>
        <w:lastRenderedPageBreak/>
        <w:t xml:space="preserve">Due to </w:t>
      </w:r>
      <w:r w:rsidRPr="00E623BB">
        <w:t>the</w:t>
      </w:r>
      <w:r w:rsidR="00E623BB" w:rsidRPr="00E623BB">
        <w:t xml:space="preserve"> qualified disclaimer of audit opinion (we</w:t>
      </w:r>
      <w:r w:rsidR="00E623BB">
        <w:t xml:space="preserve"> do not have sufficient evidence to form an opinion)</w:t>
      </w:r>
      <w:r>
        <w:t xml:space="preserve"> issued for the 2011 Whole of Government Audit, </w:t>
      </w:r>
      <w:r w:rsidR="00403536">
        <w:t xml:space="preserve">we were unable to get </w:t>
      </w:r>
      <w:r w:rsidR="00E623BB">
        <w:t xml:space="preserve">enough evidence to support </w:t>
      </w:r>
      <w:r w:rsidR="00403536">
        <w:t>the comparative figures</w:t>
      </w:r>
      <w:r w:rsidR="00E623BB">
        <w:t xml:space="preserve"> in the 2012 financial report</w:t>
      </w:r>
      <w:r>
        <w:t>.</w:t>
      </w:r>
    </w:p>
    <w:p w:rsidR="00174A07" w:rsidRDefault="00174A07" w:rsidP="009379DB">
      <w:pPr>
        <w:spacing w:before="120" w:after="0"/>
        <w:jc w:val="both"/>
        <w:rPr>
          <w:b/>
          <w:i/>
        </w:rPr>
      </w:pPr>
      <w:r w:rsidRPr="00174A07">
        <w:rPr>
          <w:b/>
          <w:i/>
        </w:rPr>
        <w:t>Non consolidation of NAFICOT</w:t>
      </w:r>
    </w:p>
    <w:p w:rsidR="00174A07" w:rsidRDefault="00403536" w:rsidP="00174A07">
      <w:pPr>
        <w:jc w:val="both"/>
      </w:pPr>
      <w:r>
        <w:t>The</w:t>
      </w:r>
      <w:r w:rsidR="009379DB">
        <w:t xml:space="preserve"> Tuvalu Whole of Government controls the NAFICOT</w:t>
      </w:r>
      <w:r>
        <w:t>,</w:t>
      </w:r>
      <w:r w:rsidR="009379DB">
        <w:t xml:space="preserve"> which has been active in the past year </w:t>
      </w:r>
      <w:r>
        <w:t xml:space="preserve">by entering into Joint Ventures. </w:t>
      </w:r>
      <w:r w:rsidR="009379DB">
        <w:t xml:space="preserve">NAFICOT </w:t>
      </w:r>
      <w:r w:rsidR="00E623BB">
        <w:t xml:space="preserve">was not included in the Tuvalu Whole of </w:t>
      </w:r>
      <w:r w:rsidR="009379DB">
        <w:t>Government accounts.</w:t>
      </w:r>
    </w:p>
    <w:p w:rsidR="009379DB" w:rsidRDefault="009379DB" w:rsidP="009379DB">
      <w:pPr>
        <w:spacing w:after="0"/>
        <w:jc w:val="both"/>
        <w:rPr>
          <w:b/>
          <w:i/>
        </w:rPr>
      </w:pPr>
      <w:r w:rsidRPr="009379DB">
        <w:rPr>
          <w:b/>
          <w:i/>
        </w:rPr>
        <w:t>Tuvalu Development Fund</w:t>
      </w:r>
      <w:r w:rsidR="00403536">
        <w:rPr>
          <w:b/>
          <w:i/>
        </w:rPr>
        <w:t xml:space="preserve"> (TDF)</w:t>
      </w:r>
    </w:p>
    <w:p w:rsidR="009379DB" w:rsidRDefault="00403536" w:rsidP="00174A07">
      <w:pPr>
        <w:jc w:val="both"/>
      </w:pPr>
      <w:r>
        <w:t xml:space="preserve">The </w:t>
      </w:r>
      <w:r w:rsidR="00E623BB">
        <w:t>receipts and payments of the Tuvalu Development Fund were</w:t>
      </w:r>
      <w:r>
        <w:t xml:space="preserve"> reported in 2012, however</w:t>
      </w:r>
      <w:r w:rsidR="00E623BB">
        <w:t xml:space="preserve">the </w:t>
      </w:r>
      <w:r w:rsidR="00942936">
        <w:t xml:space="preserve">opening and closing balances of </w:t>
      </w:r>
      <w:r w:rsidR="00E623BB">
        <w:t xml:space="preserve">each </w:t>
      </w:r>
      <w:r w:rsidR="00942936">
        <w:t xml:space="preserve">projects within the TDF </w:t>
      </w:r>
      <w:r>
        <w:t>were not</w:t>
      </w:r>
      <w:r w:rsidR="00E623BB">
        <w:t xml:space="preserve"> disclosed</w:t>
      </w:r>
      <w:r w:rsidR="00942936">
        <w:t>.</w:t>
      </w:r>
      <w:r w:rsidR="00E623BB">
        <w:t xml:space="preserve"> Without</w:t>
      </w:r>
      <w:r w:rsidR="009B488F">
        <w:t xml:space="preserve"> opening</w:t>
      </w:r>
      <w:r w:rsidR="00942936">
        <w:t xml:space="preserve"> and closing balances of projects provided, </w:t>
      </w:r>
      <w:r w:rsidR="0063513A">
        <w:t xml:space="preserve">monitoring of overspending of funds allocated to projects </w:t>
      </w:r>
      <w:r>
        <w:t xml:space="preserve">is unable to </w:t>
      </w:r>
      <w:r w:rsidR="009B488F">
        <w:t>occur</w:t>
      </w:r>
      <w:r w:rsidR="0063513A">
        <w:t>.</w:t>
      </w:r>
    </w:p>
    <w:p w:rsidR="0063513A" w:rsidRDefault="0063513A" w:rsidP="00E13610">
      <w:pPr>
        <w:spacing w:after="0"/>
        <w:jc w:val="both"/>
        <w:rPr>
          <w:b/>
          <w:i/>
        </w:rPr>
      </w:pPr>
      <w:r w:rsidRPr="0063513A">
        <w:rPr>
          <w:b/>
          <w:i/>
        </w:rPr>
        <w:t>End of year transactions effecting expenses</w:t>
      </w:r>
    </w:p>
    <w:p w:rsidR="0063513A" w:rsidRDefault="00E13610" w:rsidP="00174A07">
      <w:pPr>
        <w:jc w:val="both"/>
      </w:pPr>
      <w:r>
        <w:t xml:space="preserve">Expenses incurred in 2012 </w:t>
      </w:r>
      <w:r w:rsidR="00122B03">
        <w:t xml:space="preserve">were </w:t>
      </w:r>
      <w:r>
        <w:t xml:space="preserve">entered incorrectly </w:t>
      </w:r>
      <w:r w:rsidR="00403536">
        <w:t xml:space="preserve">into </w:t>
      </w:r>
      <w:r>
        <w:t>2011</w:t>
      </w:r>
      <w:r w:rsidR="009B488F">
        <w:t xml:space="preserve"> in order to continue expending the 2011 budget in 2012</w:t>
      </w:r>
      <w:r>
        <w:t>. This issue was formally raised to the Secretary and Minister for Finance, but they did not agree to adjust the expenditure</w:t>
      </w:r>
      <w:r w:rsidR="009B488F">
        <w:t xml:space="preserve"> into the correct period</w:t>
      </w:r>
      <w:r>
        <w:t xml:space="preserve">. This is not </w:t>
      </w:r>
      <w:r w:rsidR="00122B03">
        <w:t xml:space="preserve">in </w:t>
      </w:r>
      <w:r>
        <w:t>compliance with the Public Finance Act and resulted in the understatement of 2012 expenses.</w:t>
      </w:r>
    </w:p>
    <w:p w:rsidR="00012A32" w:rsidRPr="00012A32" w:rsidRDefault="00012A32" w:rsidP="00012A32">
      <w:pPr>
        <w:shd w:val="clear" w:color="auto" w:fill="C6D9F1" w:themeFill="text2" w:themeFillTint="33"/>
        <w:jc w:val="both"/>
        <w:rPr>
          <w:b/>
        </w:rPr>
      </w:pPr>
      <w:r w:rsidRPr="00012A32">
        <w:rPr>
          <w:b/>
        </w:rPr>
        <w:t>Summary of TWOG financial report for the year ending 31 December 2012</w:t>
      </w:r>
    </w:p>
    <w:tbl>
      <w:tblPr>
        <w:tblW w:w="8218" w:type="dxa"/>
        <w:tblInd w:w="93" w:type="dxa"/>
        <w:tblLook w:val="04A0"/>
      </w:tblPr>
      <w:tblGrid>
        <w:gridCol w:w="1026"/>
        <w:gridCol w:w="1026"/>
        <w:gridCol w:w="1026"/>
        <w:gridCol w:w="1026"/>
        <w:gridCol w:w="1026"/>
        <w:gridCol w:w="1667"/>
        <w:gridCol w:w="1421"/>
      </w:tblGrid>
      <w:tr w:rsidR="001600A4" w:rsidRPr="001600A4" w:rsidTr="009100C9">
        <w:trPr>
          <w:trHeight w:val="303"/>
        </w:trPr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STATEMENT OF INCOME AND EXPENDITURE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600A4" w:rsidRPr="001600A4" w:rsidTr="009100C9">
        <w:trPr>
          <w:trHeight w:val="30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Actual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Budget</w:t>
            </w:r>
          </w:p>
        </w:tc>
      </w:tr>
      <w:tr w:rsidR="001600A4" w:rsidRPr="001600A4" w:rsidTr="009100C9">
        <w:trPr>
          <w:trHeight w:val="303"/>
        </w:trPr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Total Recurrent Income 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$32,585,481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$24,122,152</w:t>
            </w:r>
          </w:p>
        </w:tc>
      </w:tr>
      <w:tr w:rsidR="001600A4" w:rsidRPr="001600A4" w:rsidTr="009100C9">
        <w:trPr>
          <w:trHeight w:val="303"/>
        </w:trPr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Total Recurrent Expenditure**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$29,164,603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$29,430,611</w:t>
            </w:r>
          </w:p>
        </w:tc>
      </w:tr>
      <w:tr w:rsidR="001600A4" w:rsidRPr="001600A4" w:rsidTr="009100C9">
        <w:trPr>
          <w:trHeight w:val="30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Recurrent Surplus/(</w:t>
            </w:r>
            <w:proofErr w:type="spellStart"/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Defecit</w:t>
            </w:r>
            <w:proofErr w:type="spellEnd"/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$3,420,878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-$5,308,459</w:t>
            </w:r>
          </w:p>
        </w:tc>
      </w:tr>
      <w:tr w:rsidR="001600A4" w:rsidRPr="001600A4" w:rsidTr="009100C9">
        <w:trPr>
          <w:trHeight w:val="303"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Add Other Revenue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$3,945,914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600A4" w:rsidRPr="001600A4" w:rsidTr="009100C9">
        <w:trPr>
          <w:trHeight w:val="30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Surplus/ (</w:t>
            </w:r>
            <w:proofErr w:type="spellStart"/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Defecit</w:t>
            </w:r>
            <w:proofErr w:type="spellEnd"/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$7,366,792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1600A4" w:rsidRPr="001600A4" w:rsidTr="009100C9">
        <w:trPr>
          <w:trHeight w:val="30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600A4" w:rsidRPr="001600A4" w:rsidTr="009100C9">
        <w:trPr>
          <w:trHeight w:val="303"/>
        </w:trPr>
        <w:tc>
          <w:tcPr>
            <w:tcW w:w="6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*</w:t>
            </w:r>
            <w:r w:rsidRPr="001600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(33% External Assistance and Grants and 25% Fishing licenses)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600A4" w:rsidRPr="001600A4" w:rsidTr="009100C9">
        <w:trPr>
          <w:trHeight w:val="303"/>
        </w:trPr>
        <w:tc>
          <w:tcPr>
            <w:tcW w:w="8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4" w:rsidRPr="001600A4" w:rsidRDefault="001600A4" w:rsidP="00160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00A4">
              <w:rPr>
                <w:rFonts w:ascii="Calibri" w:eastAsia="Times New Roman" w:hAnsi="Calibri" w:cs="Times New Roman"/>
                <w:color w:val="000000"/>
                <w:lang w:eastAsia="en-AU"/>
              </w:rPr>
              <w:t>*</w:t>
            </w:r>
            <w:r w:rsidRPr="001600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(38% Wages and Salaries and 22% Grants and Subsidies/scholarship support)</w:t>
            </w:r>
          </w:p>
        </w:tc>
      </w:tr>
    </w:tbl>
    <w:p w:rsidR="00012A32" w:rsidRDefault="00012A32" w:rsidP="00174A07">
      <w:pPr>
        <w:jc w:val="both"/>
      </w:pPr>
    </w:p>
    <w:tbl>
      <w:tblPr>
        <w:tblW w:w="8204" w:type="dxa"/>
        <w:tblInd w:w="93" w:type="dxa"/>
        <w:tblLook w:val="04A0"/>
      </w:tblPr>
      <w:tblGrid>
        <w:gridCol w:w="973"/>
        <w:gridCol w:w="973"/>
        <w:gridCol w:w="973"/>
        <w:gridCol w:w="974"/>
        <w:gridCol w:w="973"/>
        <w:gridCol w:w="1621"/>
        <w:gridCol w:w="1621"/>
        <w:gridCol w:w="97"/>
      </w:tblGrid>
      <w:tr w:rsidR="009100C9" w:rsidRPr="009100C9" w:rsidTr="009100C9">
        <w:trPr>
          <w:trHeight w:val="355"/>
        </w:trPr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STATEMENT OF ASSETS AND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100C9" w:rsidRPr="009100C9" w:rsidTr="009100C9">
        <w:trPr>
          <w:gridAfter w:val="1"/>
          <w:wAfter w:w="96" w:type="dxa"/>
          <w:trHeight w:val="32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2012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2011</w:t>
            </w:r>
          </w:p>
        </w:tc>
      </w:tr>
      <w:tr w:rsidR="009100C9" w:rsidRPr="009100C9" w:rsidTr="009100C9">
        <w:trPr>
          <w:gridAfter w:val="1"/>
          <w:wAfter w:w="97" w:type="dxa"/>
          <w:trHeight w:val="321"/>
        </w:trPr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Total Government Equity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$61,757,315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$54,390,522</w:t>
            </w:r>
          </w:p>
        </w:tc>
      </w:tr>
      <w:tr w:rsidR="009100C9" w:rsidRPr="009100C9" w:rsidTr="009100C9">
        <w:trPr>
          <w:gridAfter w:val="1"/>
          <w:wAfter w:w="97" w:type="dxa"/>
          <w:trHeight w:val="321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Total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$71,800,739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$65,160,927</w:t>
            </w:r>
          </w:p>
        </w:tc>
      </w:tr>
      <w:tr w:rsidR="009100C9" w:rsidRPr="009100C9" w:rsidTr="009100C9">
        <w:trPr>
          <w:gridAfter w:val="1"/>
          <w:wAfter w:w="97" w:type="dxa"/>
          <w:trHeight w:val="321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Total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$10,043,424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color w:val="000000"/>
                <w:lang w:eastAsia="en-AU"/>
              </w:rPr>
              <w:t>$10,770,404</w:t>
            </w:r>
          </w:p>
        </w:tc>
      </w:tr>
      <w:tr w:rsidR="009100C9" w:rsidRPr="009100C9" w:rsidTr="009100C9">
        <w:trPr>
          <w:gridAfter w:val="1"/>
          <w:wAfter w:w="96" w:type="dxa"/>
          <w:trHeight w:val="32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100C9" w:rsidRPr="009100C9" w:rsidTr="009100C9">
        <w:trPr>
          <w:gridAfter w:val="1"/>
          <w:wAfter w:w="97" w:type="dxa"/>
          <w:trHeight w:val="321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Net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$61,757,315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C9" w:rsidRPr="009100C9" w:rsidRDefault="009100C9" w:rsidP="00910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100C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$54,390,523</w:t>
            </w:r>
          </w:p>
        </w:tc>
      </w:tr>
    </w:tbl>
    <w:p w:rsidR="00C80A55" w:rsidRDefault="00C80A55" w:rsidP="00C80A55">
      <w:pPr>
        <w:spacing w:after="0"/>
        <w:jc w:val="both"/>
      </w:pPr>
    </w:p>
    <w:tbl>
      <w:tblPr>
        <w:tblW w:w="8234" w:type="dxa"/>
        <w:tblInd w:w="93" w:type="dxa"/>
        <w:tblLook w:val="04A0"/>
      </w:tblPr>
      <w:tblGrid>
        <w:gridCol w:w="419"/>
        <w:gridCol w:w="4083"/>
        <w:gridCol w:w="1325"/>
        <w:gridCol w:w="1276"/>
        <w:gridCol w:w="1131"/>
      </w:tblGrid>
      <w:tr w:rsidR="00C84EAD" w:rsidRPr="00C84EAD" w:rsidTr="007D364A">
        <w:trPr>
          <w:trHeight w:val="299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84EAD" w:rsidRPr="00C84EAD" w:rsidRDefault="00C84EAD" w:rsidP="00FC2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STATEMENT OF UNAUTHORISED EXPENDITURES</w:t>
            </w:r>
            <w:r w:rsidR="00FC2D3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(Expenditure exceeding amount authorised by Parliament)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84EAD" w:rsidRPr="00C84EAD" w:rsidTr="007D364A">
        <w:trPr>
          <w:trHeight w:val="76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STATUTORY HEADS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  <w:t>2012 Expenditure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  <w:t>Final Budget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n-AU"/>
              </w:rPr>
              <w:t>Bud-Exp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A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Office of the Governo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 General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114,164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82,126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(32,038)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Office of the Prime Minister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138,208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99,587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(38,621)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Parliament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374,200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315,230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(58,971)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Finance and Economic Development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86,818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65,224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(21,595)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Public Utilities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39,221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(39,221)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Health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102,100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65,671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(36,429)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Home Affairs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83,736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65,670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(18,065)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Education, Youth and Sports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96,070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65,325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(30,746)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Judiciary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50,662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20,000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(30,662)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Foreign Affairs, Trade, Tourism, </w:t>
            </w:r>
            <w:proofErr w:type="spellStart"/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Env</w:t>
            </w:r>
            <w:proofErr w:type="spellEnd"/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. &amp; Labour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122,645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65,909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(56,736)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Total Statutory Spen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d</w:t>
            </w: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ing by Heads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1,207,825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844,741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(363,083)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C84EAD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NON STATUTORY HEADS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EAD" w:rsidRPr="00C84EAD" w:rsidRDefault="00C84EAD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EAD" w:rsidRPr="00C84EAD" w:rsidRDefault="00C84EAD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EAD" w:rsidRPr="00C84EAD" w:rsidRDefault="00C84EAD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Office of the Governo</w:t>
            </w: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 General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92,409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83,911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(8,498)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Finance and Economic Development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1,747,162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1,475,691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(271,471)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Health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4,748,863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4,521,680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(227,184)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Total Non-statutory spending by Heads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27,855,105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29,171,810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1,316,704</w:t>
            </w:r>
          </w:p>
        </w:tc>
      </w:tr>
      <w:tr w:rsidR="00C84EAD" w:rsidRPr="00C84EAD" w:rsidTr="007D364A">
        <w:trPr>
          <w:trHeight w:val="29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C84EAD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C84EAD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C84EAD" w:rsidP="007D3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C84EAD" w:rsidRPr="00C84EAD" w:rsidTr="007D364A">
        <w:trPr>
          <w:trHeight w:val="31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AD" w:rsidRPr="00C84EAD" w:rsidRDefault="00C84EAD" w:rsidP="00C84E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29,164,603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30,180,129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EAD" w:rsidRPr="00C84EAD" w:rsidRDefault="007D364A" w:rsidP="007D3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$</w:t>
            </w:r>
            <w:r w:rsidR="00C84EAD" w:rsidRPr="00C84EA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266,008</w:t>
            </w:r>
          </w:p>
        </w:tc>
      </w:tr>
    </w:tbl>
    <w:p w:rsidR="00C80A55" w:rsidRDefault="00C80A55" w:rsidP="00C80A55">
      <w:pPr>
        <w:spacing w:after="0"/>
        <w:jc w:val="both"/>
      </w:pPr>
    </w:p>
    <w:p w:rsidR="00E13610" w:rsidRPr="00E13610" w:rsidRDefault="00E13610" w:rsidP="00C80A55">
      <w:pPr>
        <w:shd w:val="clear" w:color="auto" w:fill="C6D9F1" w:themeFill="text2" w:themeFillTint="33"/>
        <w:spacing w:after="0"/>
        <w:jc w:val="both"/>
        <w:rPr>
          <w:b/>
        </w:rPr>
      </w:pPr>
      <w:r>
        <w:rPr>
          <w:b/>
        </w:rPr>
        <w:t>Improvements</w:t>
      </w:r>
    </w:p>
    <w:p w:rsidR="0063513A" w:rsidRPr="009379DB" w:rsidRDefault="009B497F" w:rsidP="00CA6348">
      <w:pPr>
        <w:spacing w:before="240"/>
        <w:jc w:val="both"/>
      </w:pPr>
      <w:r>
        <w:t>There</w:t>
      </w:r>
      <w:r w:rsidR="00E13610">
        <w:t xml:space="preserve"> has been improvement in the preparation</w:t>
      </w:r>
      <w:r w:rsidR="00357023">
        <w:t xml:space="preserve"> and reporting</w:t>
      </w:r>
      <w:r w:rsidR="00E13610">
        <w:t xml:space="preserve"> of the 2012 Tuvalu Whole of Government financial reports. There are also prior year audit issues that have been resolved </w:t>
      </w:r>
      <w:r w:rsidR="00357023">
        <w:t xml:space="preserve">due to </w:t>
      </w:r>
      <w:r w:rsidR="00E13610">
        <w:t xml:space="preserve">the </w:t>
      </w:r>
      <w:r w:rsidR="00357023">
        <w:t>assistance and effort put forward by Treasury staff and other department involved in the audit process.</w:t>
      </w:r>
    </w:p>
    <w:p w:rsidR="00CA6348" w:rsidRPr="00CA6348" w:rsidRDefault="00CA6348" w:rsidP="00CA6348">
      <w:pPr>
        <w:shd w:val="clear" w:color="auto" w:fill="C6D9F1" w:themeFill="text2" w:themeFillTint="33"/>
        <w:spacing w:after="0"/>
        <w:jc w:val="both"/>
        <w:rPr>
          <w:b/>
        </w:rPr>
      </w:pPr>
      <w:r w:rsidRPr="00CA6348">
        <w:rPr>
          <w:b/>
        </w:rPr>
        <w:t>Report of the Auditor General on the Tuvalu Whole of</w:t>
      </w:r>
      <w:r>
        <w:rPr>
          <w:b/>
        </w:rPr>
        <w:t xml:space="preserve"> Government Accounts</w:t>
      </w:r>
    </w:p>
    <w:p w:rsidR="00122B03" w:rsidRDefault="003005D7" w:rsidP="00CA6348">
      <w:pPr>
        <w:spacing w:before="240"/>
        <w:jc w:val="both"/>
      </w:pPr>
      <w:r>
        <w:t>Copies of the Auditor General’s detailed audit report and Tuvalu Whole of Government f</w:t>
      </w:r>
      <w:r w:rsidR="00122B03">
        <w:t xml:space="preserve">inancial accounts are available </w:t>
      </w:r>
      <w:r w:rsidR="00FC2D3D">
        <w:t>in hard or soft copy for free by</w:t>
      </w:r>
      <w:r w:rsidR="00122B03">
        <w:t>:</w:t>
      </w:r>
    </w:p>
    <w:p w:rsidR="00122B03" w:rsidRDefault="00FC2D3D" w:rsidP="00122B03">
      <w:pPr>
        <w:pStyle w:val="ListParagraph"/>
        <w:numPr>
          <w:ilvl w:val="0"/>
          <w:numId w:val="4"/>
        </w:numPr>
        <w:spacing w:before="240"/>
        <w:jc w:val="both"/>
      </w:pPr>
      <w:r>
        <w:t xml:space="preserve">Visiting </w:t>
      </w:r>
      <w:r w:rsidR="003005D7">
        <w:t xml:space="preserve">the </w:t>
      </w:r>
      <w:r>
        <w:t>Office of the Auditor General</w:t>
      </w:r>
      <w:r w:rsidR="003005D7">
        <w:t xml:space="preserve"> located at the Northern Wing, Top floor of the Government Building.</w:t>
      </w:r>
    </w:p>
    <w:p w:rsidR="00122B03" w:rsidRDefault="00FC2D3D" w:rsidP="00122B03">
      <w:pPr>
        <w:pStyle w:val="ListParagraph"/>
        <w:numPr>
          <w:ilvl w:val="0"/>
          <w:numId w:val="4"/>
        </w:numPr>
        <w:spacing w:before="240"/>
        <w:jc w:val="both"/>
      </w:pPr>
      <w:r>
        <w:t>R</w:t>
      </w:r>
      <w:r w:rsidR="00122B03">
        <w:t xml:space="preserve">equesting a copy </w:t>
      </w:r>
      <w:r w:rsidR="008B0CE0">
        <w:t xml:space="preserve">to be mailed to you </w:t>
      </w:r>
      <w:r>
        <w:t xml:space="preserve">by phoning </w:t>
      </w:r>
      <w:r w:rsidR="00122B03">
        <w:t>20131</w:t>
      </w:r>
      <w:r>
        <w:t xml:space="preserve"> during business hours.</w:t>
      </w:r>
    </w:p>
    <w:p w:rsidR="00FC2D3D" w:rsidRDefault="00FC2D3D" w:rsidP="00FC2D3D">
      <w:pPr>
        <w:pStyle w:val="ListParagraph"/>
        <w:numPr>
          <w:ilvl w:val="0"/>
          <w:numId w:val="4"/>
        </w:numPr>
        <w:spacing w:before="240"/>
        <w:jc w:val="both"/>
      </w:pPr>
      <w:r>
        <w:t>Requesting a copy from any staff of the Office of the Auditor General</w:t>
      </w:r>
    </w:p>
    <w:p w:rsidR="003005D7" w:rsidRDefault="00FC2D3D" w:rsidP="00122B03">
      <w:pPr>
        <w:pStyle w:val="ListParagraph"/>
        <w:numPr>
          <w:ilvl w:val="0"/>
          <w:numId w:val="4"/>
        </w:numPr>
        <w:spacing w:before="240"/>
        <w:jc w:val="both"/>
      </w:pPr>
      <w:r>
        <w:t>E</w:t>
      </w:r>
      <w:r w:rsidR="00122B03">
        <w:t xml:space="preserve">mailing </w:t>
      </w:r>
      <w:hyperlink r:id="rId6" w:history="1">
        <w:r w:rsidR="008B0CE0" w:rsidRPr="009131B3">
          <w:rPr>
            <w:rStyle w:val="Hyperlink"/>
          </w:rPr>
          <w:t>aleauma@gov.tv</w:t>
        </w:r>
      </w:hyperlink>
      <w:r w:rsidR="00CA6348">
        <w:t>.</w:t>
      </w:r>
    </w:p>
    <w:p w:rsidR="008B0CE0" w:rsidRDefault="008B0CE0" w:rsidP="008B0CE0">
      <w:pPr>
        <w:spacing w:before="240"/>
        <w:ind w:left="360"/>
        <w:jc w:val="both"/>
      </w:pPr>
      <w:bookmarkStart w:id="0" w:name="_GoBack"/>
      <w:bookmarkEnd w:id="0"/>
    </w:p>
    <w:p w:rsidR="00CA6348" w:rsidRDefault="00CA6348" w:rsidP="00CA6348">
      <w:pPr>
        <w:spacing w:before="240"/>
        <w:jc w:val="both"/>
      </w:pPr>
    </w:p>
    <w:p w:rsidR="00CA6348" w:rsidRDefault="00CA6348" w:rsidP="003005D7">
      <w:pPr>
        <w:spacing w:after="0"/>
        <w:jc w:val="both"/>
      </w:pPr>
    </w:p>
    <w:p w:rsidR="003005D7" w:rsidRDefault="003005D7" w:rsidP="003005D7">
      <w:pPr>
        <w:spacing w:after="0"/>
        <w:jc w:val="both"/>
      </w:pPr>
    </w:p>
    <w:p w:rsidR="00174A07" w:rsidRPr="00174A07" w:rsidRDefault="00174A07" w:rsidP="00E6308A">
      <w:pPr>
        <w:jc w:val="both"/>
      </w:pPr>
    </w:p>
    <w:sectPr w:rsidR="00174A07" w:rsidRPr="00174A07" w:rsidSect="002E4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lphi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F0F"/>
    <w:multiLevelType w:val="hybridMultilevel"/>
    <w:tmpl w:val="5A0A8E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0885"/>
    <w:multiLevelType w:val="hybridMultilevel"/>
    <w:tmpl w:val="06C4C7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B146EB"/>
    <w:multiLevelType w:val="hybridMultilevel"/>
    <w:tmpl w:val="AF30495C"/>
    <w:lvl w:ilvl="0" w:tplc="EE82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66D46"/>
    <w:multiLevelType w:val="hybridMultilevel"/>
    <w:tmpl w:val="D842DE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7F26"/>
    <w:rsid w:val="00012A32"/>
    <w:rsid w:val="000D2ABF"/>
    <w:rsid w:val="000D6259"/>
    <w:rsid w:val="00122B03"/>
    <w:rsid w:val="00147E9F"/>
    <w:rsid w:val="001600A4"/>
    <w:rsid w:val="00174A07"/>
    <w:rsid w:val="001E7E41"/>
    <w:rsid w:val="00211EB9"/>
    <w:rsid w:val="002A2FA8"/>
    <w:rsid w:val="002A6D5C"/>
    <w:rsid w:val="002B6133"/>
    <w:rsid w:val="002C7F26"/>
    <w:rsid w:val="002E4851"/>
    <w:rsid w:val="003005D7"/>
    <w:rsid w:val="00357023"/>
    <w:rsid w:val="00397C94"/>
    <w:rsid w:val="00403536"/>
    <w:rsid w:val="004228CA"/>
    <w:rsid w:val="00453CEC"/>
    <w:rsid w:val="00473F75"/>
    <w:rsid w:val="00497684"/>
    <w:rsid w:val="005574AA"/>
    <w:rsid w:val="005A38F0"/>
    <w:rsid w:val="0063513A"/>
    <w:rsid w:val="00774461"/>
    <w:rsid w:val="007931B6"/>
    <w:rsid w:val="007D364A"/>
    <w:rsid w:val="00806345"/>
    <w:rsid w:val="008B0CE0"/>
    <w:rsid w:val="008B6EC4"/>
    <w:rsid w:val="009100C9"/>
    <w:rsid w:val="009116C1"/>
    <w:rsid w:val="00920D57"/>
    <w:rsid w:val="009379DB"/>
    <w:rsid w:val="00942936"/>
    <w:rsid w:val="009B488F"/>
    <w:rsid w:val="009B497F"/>
    <w:rsid w:val="00C3093E"/>
    <w:rsid w:val="00C80A55"/>
    <w:rsid w:val="00C84EAD"/>
    <w:rsid w:val="00CA6348"/>
    <w:rsid w:val="00CD0F6C"/>
    <w:rsid w:val="00CD3EF8"/>
    <w:rsid w:val="00D721C6"/>
    <w:rsid w:val="00D733C5"/>
    <w:rsid w:val="00D86C83"/>
    <w:rsid w:val="00E13610"/>
    <w:rsid w:val="00E623BB"/>
    <w:rsid w:val="00E6308A"/>
    <w:rsid w:val="00EC6BCD"/>
    <w:rsid w:val="00ED3460"/>
    <w:rsid w:val="00F22F74"/>
    <w:rsid w:val="00F461E8"/>
    <w:rsid w:val="00FC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51"/>
  </w:style>
  <w:style w:type="paragraph" w:styleId="Heading1">
    <w:name w:val="heading 1"/>
    <w:basedOn w:val="Normal"/>
    <w:next w:val="Normal"/>
    <w:link w:val="Heading1Char"/>
    <w:qFormat/>
    <w:rsid w:val="008B0CE0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4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8B0CE0"/>
    <w:pPr>
      <w:keepNext/>
      <w:spacing w:after="0" w:line="240" w:lineRule="auto"/>
      <w:jc w:val="center"/>
      <w:outlineLvl w:val="4"/>
    </w:pPr>
    <w:rPr>
      <w:rFonts w:ascii="Dolphin" w:eastAsia="Times New Roman" w:hAnsi="Dolphin" w:cs="Times New Roman"/>
      <w:b/>
      <w:bCs/>
      <w:i/>
      <w:sz w:val="16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8B0CE0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bCs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0CE0"/>
    <w:rPr>
      <w:rFonts w:ascii="Bookman Old Style" w:eastAsia="Times New Roman" w:hAnsi="Bookman Old Style" w:cs="Times New Roman"/>
      <w:sz w:val="4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8B0CE0"/>
    <w:rPr>
      <w:rFonts w:ascii="Dolphin" w:eastAsia="Times New Roman" w:hAnsi="Dolphin" w:cs="Times New Roman"/>
      <w:b/>
      <w:bCs/>
      <w:i/>
      <w:sz w:val="16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B0CE0"/>
    <w:rPr>
      <w:rFonts w:ascii="Bookman Old Style" w:eastAsia="Times New Roman" w:hAnsi="Bookman Old Style" w:cs="Times New Roman"/>
      <w:b/>
      <w:bCs/>
      <w:sz w:val="32"/>
      <w:szCs w:val="24"/>
      <w:lang w:val="en-US"/>
    </w:rPr>
  </w:style>
  <w:style w:type="character" w:styleId="Hyperlink">
    <w:name w:val="Hyperlink"/>
    <w:basedOn w:val="DefaultParagraphFont"/>
    <w:semiHidden/>
    <w:rsid w:val="008B0C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auma@gov.t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Asau</dc:creator>
  <cp:lastModifiedBy>mtumua</cp:lastModifiedBy>
  <cp:revision>6</cp:revision>
  <dcterms:created xsi:type="dcterms:W3CDTF">2013-10-15T04:17:00Z</dcterms:created>
  <dcterms:modified xsi:type="dcterms:W3CDTF">2013-10-21T22:14:00Z</dcterms:modified>
</cp:coreProperties>
</file>